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ОФЕРТЫ 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</w:t>
      </w:r>
      <w:r>
        <w:rPr>
          <w:b/>
          <w:sz w:val="22"/>
          <w:szCs w:val="22"/>
        </w:rPr>
        <w:t xml:space="preserve"> оказание услуг </w:t>
      </w:r>
      <w:r>
        <w:rPr>
          <w:b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Настоящий договор является официальным предложением (публичной офертой) адресованным любому физическому лицу, в дальнейшем именуемому Заказчик, согласившемуся с условиями настоящей публичной оферты, путем ее полного и безоговорочного акцепта.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Заказчик обязан полностью ознакомиться с настоящим документом до момента внесения оплаты.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rFonts w:eastAsia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АВТОНОМНАЯ НЕКОММЕРЧЕСКАЯ ОРГАНИЗАЦИЯ ДОПОЛНИТЕЛЬНОГО ПРОФЕССИОНАЛЬНОГО ОБРАЗОВАНИЯ «СИБИРСКИЙ ИНСТИТУТ ПРАКТИЧЕСКОЙ ПСИХОЛОГИИ, ПЕДАГОГИКИ И СОЦИАЛЬНОЙ РАБОТЫ» (АНО ДПО «СИПППИСР»)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менуемое в дальнейшем «Исполнитель», в лице директора </w:t>
      </w:r>
      <w:r>
        <w:rPr>
          <w:sz w:val="22"/>
          <w:szCs w:val="22"/>
        </w:rPr>
        <w:t xml:space="preserve">Елинской Янины Алексеевны</w:t>
      </w:r>
      <w:r>
        <w:rPr>
          <w:sz w:val="22"/>
          <w:szCs w:val="22"/>
        </w:rPr>
        <w:t xml:space="preserve">, действующей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основании Устава</w:t>
      </w:r>
      <w:r>
        <w:rPr>
          <w:sz w:val="22"/>
          <w:szCs w:val="22"/>
        </w:rPr>
        <w:t xml:space="preserve">, выражает намерение заключить договор об оказании </w:t>
      </w:r>
      <w:r>
        <w:rPr>
          <w:sz w:val="22"/>
          <w:szCs w:val="22"/>
        </w:rPr>
        <w:t xml:space="preserve">услуг</w:t>
      </w:r>
      <w:r>
        <w:rPr>
          <w:sz w:val="22"/>
          <w:szCs w:val="22"/>
        </w:rPr>
        <w:t xml:space="preserve"> с Заказчиком на условиях настоящей оферты (далее - «Договор»)</w:t>
      </w:r>
      <w:r>
        <w:rPr>
          <w:sz w:val="22"/>
          <w:szCs w:val="22"/>
        </w:rPr>
        <w:t xml:space="preserve">.</w:t>
      </w:r>
      <w:r>
        <w:rPr>
          <w:rFonts w:eastAsia="Times New Roman"/>
          <w:b/>
          <w:bCs/>
          <w:sz w:val="22"/>
          <w:szCs w:val="22"/>
        </w:rPr>
      </w: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</w:r>
      <w:r>
        <w:rPr>
          <w:rFonts w:eastAsia="Times New Roman"/>
          <w:b/>
          <w:bCs/>
          <w:sz w:val="22"/>
          <w:szCs w:val="22"/>
        </w:rPr>
      </w:r>
    </w:p>
    <w:p>
      <w:pPr>
        <w:pStyle w:val="633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ТЕРМИНЫ И ОПРЕДЕЛЕНИЯ</w:t>
      </w:r>
      <w:r>
        <w:rPr>
          <w:sz w:val="22"/>
          <w:szCs w:val="22"/>
        </w:rPr>
      </w:r>
    </w:p>
    <w:p>
      <w:pPr>
        <w:pStyle w:val="63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1.1. В целях настоящей оферты нижеприведенные термины используются в следующих значениях: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Оферта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 документ,</w:t>
      </w:r>
      <w:r>
        <w:rPr>
          <w:sz w:val="22"/>
          <w:szCs w:val="22"/>
        </w:rPr>
        <w:t xml:space="preserve"> опубликованный на сайте </w:t>
      </w:r>
      <w:hyperlink r:id="rId9" w:tooltip="https://www.sispp.ru/" w:history="1">
        <w:r>
          <w:rPr>
            <w:rStyle w:val="636"/>
            <w:sz w:val="22"/>
            <w:szCs w:val="22"/>
          </w:rPr>
          <w:t xml:space="preserve">https://www.sispp.ru/</w:t>
        </w:r>
      </w:hyperlink>
      <w:r>
        <w:rPr>
          <w:sz w:val="22"/>
          <w:szCs w:val="22"/>
        </w:rPr>
        <w:t xml:space="preserve">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Акцепт Оферты –</w:t>
      </w:r>
      <w:r>
        <w:rPr>
          <w:sz w:val="22"/>
          <w:szCs w:val="22"/>
        </w:rPr>
        <w:t xml:space="preserve"> полное и безоговорочное принятие Оферты путем осуществления действий, указанных в п. 2.2. Оферты.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Акцепт Оф</w:t>
      </w:r>
      <w:r>
        <w:rPr>
          <w:sz w:val="22"/>
          <w:szCs w:val="22"/>
        </w:rPr>
        <w:t xml:space="preserve">ерты создает Договор. Заказчик –</w:t>
      </w:r>
      <w:r>
        <w:rPr>
          <w:sz w:val="22"/>
          <w:szCs w:val="22"/>
        </w:rPr>
        <w:t xml:space="preserve"> совершеннолетнее лицо, осуществившее Акцепт Оферты, являющееся потребителем платных Услуг по заключенному Договору, либо правомочный представитель несовершеннолетнего лица, которое будет потребителем платных Услуг.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Договор –</w:t>
      </w:r>
      <w:r>
        <w:rPr>
          <w:sz w:val="22"/>
          <w:szCs w:val="22"/>
        </w:rPr>
        <w:t xml:space="preserve"> договор между Заказчиком и Исполнителем на предоставление Услуг, который заключается посредством Акцепта Оферты. </w:t>
      </w:r>
      <w:r>
        <w:rPr>
          <w:sz w:val="22"/>
          <w:szCs w:val="22"/>
        </w:rPr>
      </w:r>
    </w:p>
    <w:p>
      <w:pPr>
        <w:jc w:val="both"/>
        <w:rPr>
          <w:rFonts w:eastAsia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Сайт </w:t>
      </w:r>
      <w:hyperlink r:id="rId10" w:tooltip="https://www.sispp.ru/" w:history="1">
        <w:r>
          <w:rPr>
            <w:rStyle w:val="636"/>
          </w:rPr>
          <w:t xml:space="preserve">https://www.sispp.ru/</w:t>
        </w:r>
      </w:hyperlink>
      <w:r>
        <w:t xml:space="preserve">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интернет ресурс Исполнителя.</w:t>
      </w:r>
      <w:r>
        <w:rPr>
          <w:rFonts w:eastAsia="Times New Roman"/>
          <w:b/>
          <w:bCs/>
          <w:sz w:val="22"/>
          <w:szCs w:val="22"/>
        </w:rPr>
      </w: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</w:r>
      <w:r>
        <w:rPr>
          <w:rFonts w:eastAsia="Times New Roman"/>
          <w:b/>
          <w:bCs/>
          <w:sz w:val="22"/>
          <w:szCs w:val="22"/>
        </w:rPr>
      </w: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</w:r>
      <w:r>
        <w:rPr>
          <w:rFonts w:eastAsia="Times New Roman"/>
          <w:b/>
          <w:bCs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ПРЕДМЕТ ДОГОВОРА 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2.1. Исполнитель предоставляет, а Заказчик оплачивает </w:t>
      </w:r>
      <w:r>
        <w:rPr>
          <w:sz w:val="22"/>
          <w:szCs w:val="22"/>
        </w:rPr>
        <w:t xml:space="preserve">услугу по организации участия Заказчика в научно-практическом мероприятии. Услуга может оказываться</w:t>
      </w:r>
      <w:r>
        <w:rPr>
          <w:sz w:val="22"/>
          <w:szCs w:val="22"/>
        </w:rPr>
        <w:t xml:space="preserve"> дистанционно с использованием информационных и телекоммуникационных </w:t>
      </w:r>
      <w:r>
        <w:rPr>
          <w:sz w:val="22"/>
          <w:szCs w:val="22"/>
        </w:rPr>
        <w:t xml:space="preserve">технологий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2.2. Указанные в пункте 2.1 Договора услуги не являются образовательными или иными, требующими от Исполнителя наличия специального разрешения (лицензии).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2.3. Заказчик предупрежден о том, услуги в рамках настоящего Договора не сопровождаются итоговой аттестацией и Заказчику</w:t>
      </w:r>
      <w:r>
        <w:rPr>
          <w:sz w:val="22"/>
          <w:szCs w:val="22"/>
        </w:rPr>
        <w:t xml:space="preserve"> по итогам их оказания</w:t>
      </w:r>
      <w:r>
        <w:rPr>
          <w:sz w:val="22"/>
          <w:szCs w:val="22"/>
        </w:rPr>
        <w:t xml:space="preserve"> не выдается какой-либо сертификат или свидетельство.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numPr>
          <w:ilvl w:val="0"/>
          <w:numId w:val="5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ПРАВА И ОБЯЗАННОСТИ СТОРОН</w:t>
      </w:r>
      <w:r>
        <w:rPr>
          <w:sz w:val="22"/>
          <w:szCs w:val="22"/>
        </w:rPr>
      </w:r>
    </w:p>
    <w:p>
      <w:pPr>
        <w:pStyle w:val="63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3.1. Исполнитель обязан: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3.1.1. оказывать услуги надлежащего качества, в сроки и в соответствии с условиями настоящего Договора;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3.1.2. самостоятельно готовить наглядные и демонстрационные материалы, необходимые для оказания Услуг;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3.1.3</w:t>
      </w:r>
      <w:r>
        <w:rPr>
          <w:sz w:val="22"/>
          <w:szCs w:val="22"/>
        </w:rPr>
        <w:t xml:space="preserve">. заранее предупредить Заказчика о независящих от Исполнителя обстоятельствах, которые создают невозможность оказания услуг вообще или в установленный в настоящей Оферте срок.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3.2. Исполнитель вправе: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3.2.1. определять самостоятельно методику и формат оказания информационно-консультационных услуг, учитывая пожелания Заказчика, высказанные перед осуществлением оплаты Услуг;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3.2.2</w:t>
      </w:r>
      <w:r>
        <w:rPr>
          <w:sz w:val="22"/>
          <w:szCs w:val="22"/>
        </w:rPr>
        <w:t xml:space="preserve">. оказывать Услуги лично либо с привлечением третьих лиц. В случае привлечения третьих лиц Исполнитель несет ответственность за их действия перед Заказчиком, как за свои собственные;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3.2.3</w:t>
      </w:r>
      <w:r>
        <w:rPr>
          <w:sz w:val="22"/>
          <w:szCs w:val="22"/>
        </w:rPr>
        <w:t xml:space="preserve">. отказать Заказчику в предоставлении услуг и вернуть уплаченные Заказчиком денежные средства без объяснения причин;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3.2.4. о</w:t>
      </w:r>
      <w:r>
        <w:rPr>
          <w:sz w:val="22"/>
          <w:szCs w:val="22"/>
        </w:rPr>
        <w:t xml:space="preserve">бязанности Исполнителя ограничиваются условиями настоящей̆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оферты, в частности, в обязанности Исполнителя не входит оказание услуг Заказчику по предоставлению доступа в сеть Интернет. Доступ к сети Интернет Заказчик обеспечивает за свой счет самостоятельно. Также Исполнитель не предоставляет возможности приема-п</w:t>
      </w:r>
      <w:r>
        <w:rPr>
          <w:sz w:val="22"/>
          <w:szCs w:val="22"/>
        </w:rPr>
        <w:t xml:space="preserve">ередачи электронных сообщений Заказчиком в офисе Исполнителя; настройку и/или диагностику компьютерного оборудования и программного обеспечения, а также обучение Заказчика и/или сотрудников Заказчика навыкам работы с программным и аппаратным обеспечением.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3.3. Заказчик обязан: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3.3.1. оплатить услуги Исполнителя в полном объеме, на условиях и в порядке, установленном в настоящем Договоре;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3.3.2. предоставить Исполнителю достоверную контактную информацию, а именно, подать заявку на сайте Исполнителя (в электронной форме), в которой указывается: e-</w:t>
      </w:r>
      <w:r>
        <w:rPr>
          <w:sz w:val="22"/>
          <w:szCs w:val="22"/>
        </w:rPr>
        <w:t xml:space="preserve">mail</w:t>
      </w:r>
      <w:r>
        <w:rPr>
          <w:sz w:val="22"/>
          <w:szCs w:val="22"/>
        </w:rPr>
        <w:t xml:space="preserve">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3.3.3. не передавать свое право доступа (ключ доступа и данные по авторизации) к программному обеспечению третьим лицам, а также не опубликовывать в общем доступе глобальной сети интернет персональные ссылки для пользования Услугой;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3.3.4. не разглашать конфиденциальную информацию и иные данные, предоставленные Исполнителем в связи с исполнением настоящего Договора;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3.3.5. не распространять (публиковать, размещать в сети Интернет, копировать, передавать и</w:t>
      </w:r>
      <w:r>
        <w:rPr>
          <w:sz w:val="22"/>
          <w:szCs w:val="22"/>
        </w:rPr>
        <w:t xml:space="preserve"> перепродавать третьим лицам) в коммерческих или некоммерческих целях материалы, предоставляемые Исполнителем в рамках настоящего Договора, а также создавать на основе данных материалов информационные продукты и использовать указанные материалы иным образо</w:t>
      </w:r>
      <w:r>
        <w:rPr>
          <w:sz w:val="22"/>
          <w:szCs w:val="22"/>
        </w:rPr>
        <w:t xml:space="preserve">м, кроме личного использования.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3.4. Заказчик вправе: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3.4.1. отказаться от услуг Исполнителя при условии предварительн</w:t>
      </w:r>
      <w:r>
        <w:rPr>
          <w:sz w:val="22"/>
          <w:szCs w:val="22"/>
        </w:rPr>
        <w:t xml:space="preserve">ого уведомления Исполнителя не менее, чем за три дня, при этом Заказчик возмещает Исполнителю фактически понесенные последним расходы. В случае одностороннего отказа Заказчика от услуг Исполнителя менее, чем за три дня произведенная оплата не возвращается.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3.4.2</w:t>
      </w:r>
      <w:r>
        <w:rPr>
          <w:sz w:val="22"/>
          <w:szCs w:val="22"/>
        </w:rPr>
        <w:t xml:space="preserve">. пользоваться дополнительными услугами Исполнителя за отдельную плату.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 УСЛОВИЯ ОПЛАТЫ И ПОРЯДОК РАСЧЕТОВ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</w:pPr>
      <w:r>
        <w:t xml:space="preserve">       </w:t>
      </w:r>
      <w:r>
        <w:t xml:space="preserve">4.1. </w:t>
      </w:r>
      <w:r>
        <w:rPr>
          <w:rFonts w:eastAsia="Times New Roman"/>
        </w:rPr>
        <w:t xml:space="preserve">Стоимость услуг </w:t>
      </w:r>
      <w:r>
        <w:rPr>
          <w:rFonts w:eastAsia="Times New Roman"/>
        </w:rPr>
        <w:t xml:space="preserve">п</w:t>
      </w:r>
      <w:r>
        <w:rPr>
          <w:rFonts w:eastAsia="Times New Roman"/>
        </w:rPr>
        <w:t xml:space="preserve">о Договору составляет _______</w:t>
      </w:r>
      <w:r>
        <w:rPr>
          <w:rFonts w:eastAsia="Times New Roman"/>
        </w:rPr>
        <w:t xml:space="preserve"> руб.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Оплатой Заказчик выражает свое полное и безоговорочное принятие условий настоящего договора (акцепт).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4.2. Оплата Услуг по настоящему Договору осуществляется на основе стопроцентной предоплаты и в порядке, устанавливаемом в настоящем Договоре.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4.3. Исполнитель не может менять стоимость оплаченных услуг для конкретного Заказчика в случае, если тот уже принял условия Исполнителя и произвел оплату Услуг в установленном настоящим Договором порядке.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4.4. Моментом оплаты Услуги считается поступление средств на расчетный счет Исполнителя.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4.5. Заказчик самостоятельно несет ответственность за правильность производимых им платежей.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4.6. Оплата принимается от Заказчика на счет Исполнителя через платежные системы, поддерживаемые сервисом Исполнителя.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4.7. После оплаты Оферта считается акцептованной.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4.8</w:t>
      </w:r>
      <w:r>
        <w:rPr>
          <w:sz w:val="22"/>
          <w:szCs w:val="22"/>
        </w:rPr>
        <w:t xml:space="preserve">. Услуги предоставляются в полном объеме при условии их полной оплаты Заказчиком.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5. ОБРАБОТКА ПЕРСОНАЛЬНЫХ ДАННЫХ ЗАКАЗЧИКА 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5.1. Персональные данные Заказчика обрабатываются в соответствии с Федеральным Законом «О персональных данных» № 152-ФЗ.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5.2. При регистрации на Сайте Заказчик предоставляет следующую информацию: </w:t>
      </w:r>
      <w:r>
        <w:rPr>
          <w:color w:val="000000" w:themeColor="text1"/>
          <w:sz w:val="22"/>
          <w:szCs w:val="22"/>
        </w:rPr>
        <w:t xml:space="preserve">ФИО,</w:t>
      </w:r>
      <w:r>
        <w:rPr>
          <w:color w:val="000000" w:themeColor="text1"/>
          <w:sz w:val="22"/>
          <w:szCs w:val="22"/>
        </w:rPr>
        <w:t xml:space="preserve"> год рождения,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контактный номер телефона.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5.3</w:t>
      </w:r>
      <w:r>
        <w:rPr>
          <w:sz w:val="22"/>
          <w:szCs w:val="22"/>
        </w:rPr>
        <w:t xml:space="preserve">. Предоставляя свои персональные данные Исполнителю, Заказчик </w:t>
      </w:r>
      <w:r>
        <w:rPr>
          <w:sz w:val="22"/>
          <w:szCs w:val="22"/>
        </w:rPr>
        <w:t xml:space="preserve">соглашается на их обработку Исполнителем, в том числе в целях выполнения Исполнителем обязательств перед Заказчиком в рамках настоящей публичной оферты, продвижения Исполнителем услуг, клиентской поддержки, а также качества услуг, оказываемых Исполнителем.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5.4. Под обработкой персональных данных понимается любое действие (операция) или совокупность действий (операций), совершаемых Исполнителем с использованием средств автоматизац</w:t>
      </w:r>
      <w:r>
        <w:rPr>
          <w:sz w:val="22"/>
          <w:szCs w:val="22"/>
        </w:rPr>
        <w:t xml:space="preserve">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обезличивание, блокирование, удаление, уничтожение персональных данных.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 ОСНОВАНИЯ И УСЛОВИЯ ИЗМЕНЕНИЯ И РАСТОРЖЕНИЯ ДОГОВОРА 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</w:t>
      </w:r>
      <w:r>
        <w:rPr>
          <w:sz w:val="22"/>
          <w:szCs w:val="22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</w:t>
      </w:r>
      <w:r>
        <w:rPr>
          <w:sz w:val="22"/>
          <w:szCs w:val="22"/>
        </w:rPr>
        <w:t xml:space="preserve">2. Настоящий договор может быть расторгнут по сог</w:t>
      </w:r>
      <w:r>
        <w:rPr>
          <w:sz w:val="22"/>
          <w:szCs w:val="22"/>
        </w:rPr>
        <w:t xml:space="preserve">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В случае расторжения договора до начала оказания услуг, Исполнитель возвращает Заказчику оплату.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</w:t>
      </w:r>
      <w:r>
        <w:rPr>
          <w:sz w:val="22"/>
          <w:szCs w:val="22"/>
        </w:rPr>
        <w:t xml:space="preserve">.3. Отказ от получения услуг возможен не менее чем за 24 часа до начала момента оказания услуг. При отказе от получения услуг, денежные средства возвращаются только если Заказчик так и не</w:t>
      </w:r>
      <w:r>
        <w:rPr>
          <w:sz w:val="22"/>
          <w:szCs w:val="22"/>
        </w:rPr>
        <w:t xml:space="preserve"> приступил к получению услуги.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</w:t>
      </w:r>
      <w:r>
        <w:rPr>
          <w:sz w:val="22"/>
          <w:szCs w:val="22"/>
        </w:rPr>
        <w:t xml:space="preserve">.4. Возврат осуществляется в течение десяти рабочих дней с момента расторжения Договора.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6.5</w:t>
      </w:r>
      <w:r>
        <w:rPr>
          <w:sz w:val="22"/>
          <w:szCs w:val="22"/>
        </w:rPr>
        <w:t xml:space="preserve">. Договор считается расторгнутым со дня письменного уведомления Исполнителем Заказчика об отказе от исполнения договора.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</w:t>
      </w:r>
      <w:r>
        <w:rPr>
          <w:sz w:val="22"/>
          <w:szCs w:val="22"/>
        </w:rPr>
        <w:t xml:space="preserve"> ОТВЕТСТВЕННОСТЬ ЗА НЕИСПОЛНЕНИЕ ИЛИ НЕНАДЛЕЖАЩЕЕ ИСПОЛНЕНИЕ ОБЯЗАТЕЛЬСТВ ПО НАСТОЯЩЕМУ ДОГОВОРУ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7</w:t>
      </w:r>
      <w:r>
        <w:rPr>
          <w:sz w:val="22"/>
          <w:szCs w:val="22"/>
        </w:rPr>
        <w:t xml:space="preserve">.1. В случае неис</w:t>
      </w:r>
      <w:r>
        <w:rPr>
          <w:sz w:val="22"/>
          <w:szCs w:val="22"/>
        </w:rPr>
        <w:t xml:space="preserve">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7</w:t>
      </w:r>
      <w:r>
        <w:rPr>
          <w:sz w:val="22"/>
          <w:szCs w:val="22"/>
        </w:rPr>
        <w:t xml:space="preserve">.2. Заказчик соглашается и признаёт, что действия, совершённые с использованием </w:t>
      </w:r>
      <w:r>
        <w:rPr>
          <w:sz w:val="22"/>
          <w:szCs w:val="22"/>
        </w:rPr>
        <w:t xml:space="preserve">аутентификационных</w:t>
      </w:r>
      <w:r>
        <w:rPr>
          <w:sz w:val="22"/>
          <w:szCs w:val="22"/>
        </w:rPr>
        <w:t xml:space="preserve"> данных при получении онлайн информационно-консультационных услуг, порождают юридические последствия, аналогичные использованию личных подписей.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7</w:t>
      </w:r>
      <w:r>
        <w:rPr>
          <w:sz w:val="22"/>
          <w:szCs w:val="22"/>
        </w:rPr>
        <w:t xml:space="preserve">.3. Исполнитель не гарантирует отсутствие неполадок и ошибок в работе Сайта и сервисов.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7</w:t>
      </w:r>
      <w:r>
        <w:rPr>
          <w:sz w:val="22"/>
          <w:szCs w:val="22"/>
        </w:rPr>
        <w:t xml:space="preserve">.4. Ни одна из Сторон не будет нести ответственности за полное или частичное неисполнение любой из своих обязанностей по настоящему Договору, если неисполнение будет являться следствием о</w:t>
      </w:r>
      <w:r>
        <w:rPr>
          <w:sz w:val="22"/>
          <w:szCs w:val="22"/>
        </w:rPr>
        <w:t xml:space="preserve">бстоятельств непреодолимой силы. Сторона, для которой создалась невозможность исполнения обстоятельств, обязана немедленно в письменном виде уведомить другую сторону о наступлении, предполагаемом сроке действия и прекращения вышеуказанных обстоятельств. 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уведомление или несвоевременное уведомление лишает Стороны права ссылаться на любое вышеуказанное обстоятельство как на основание, освобождающее от ответственности за неисполнение обязательства.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 СРОК ДЕЙСТВИЯ ДОГОВОРА И ДРУГИЕ УСЛОВИЯ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8</w:t>
      </w:r>
      <w:r>
        <w:rPr>
          <w:sz w:val="22"/>
          <w:szCs w:val="22"/>
        </w:rPr>
        <w:t xml:space="preserve">.1. Настоящий Договор вступает в силу с момента акцепта Заказчиком данной Публичной оферты и действует до полного исполнения Сторонами взятых на себя обязательств.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8</w:t>
      </w:r>
      <w:r>
        <w:rPr>
          <w:sz w:val="22"/>
          <w:szCs w:val="22"/>
        </w:rPr>
        <w:t xml:space="preserve">.2. Исполнитель оставляет за соб</w:t>
      </w:r>
      <w:r>
        <w:rPr>
          <w:sz w:val="22"/>
          <w:szCs w:val="22"/>
        </w:rPr>
        <w:t xml:space="preserve">ой право внести изменения в настоящий Договор в любой момент по своему усмотрению, такие изменения вступают в силу с момента размещения изменённого текста Договора, если иной срок вступления изменений в силу не определён дополнительно в тексте публикации.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8</w:t>
      </w:r>
      <w:r>
        <w:rPr>
          <w:sz w:val="22"/>
          <w:szCs w:val="22"/>
        </w:rPr>
        <w:t xml:space="preserve">.3. Стороны считают </w:t>
      </w:r>
      <w:r>
        <w:rPr>
          <w:sz w:val="22"/>
          <w:szCs w:val="22"/>
        </w:rPr>
        <w:t xml:space="preserve">услугу оказанной</w:t>
      </w:r>
      <w:r>
        <w:rPr>
          <w:sz w:val="22"/>
          <w:szCs w:val="22"/>
        </w:rPr>
        <w:t xml:space="preserve">, если Заказчику не поступило претензий в течение 5 рабочих дней после окончания оказания услуги.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638"/>
        <w:tblpPr w:horzAnchor="text" w:tblpXSpec="left" w:vertAnchor="text" w:tblpY="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</w:tblGrid>
      <w:tr>
        <w:tblPrEx/>
        <w:trPr>
          <w:trHeight w:val="80"/>
        </w:trPr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  <w:t xml:space="preserve">Исполнитель:</w:t>
            </w:r>
            <w:r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  <w:t xml:space="preserve">АНО ДПО «СИПППИСР» </w:t>
            </w:r>
            <w:r>
              <w:rPr>
                <w:rStyle w:val="632"/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630009, г. Новосибирск, ул. Добролюбова, 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д. 18/1, этаж 1, пом. 17.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ОГРН: 1185476031520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ИНН: 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5405022629  КПП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: 540501001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Р\с 40703810323130000083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К\с 30101810600000000774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r>
          </w:p>
          <w:p>
            <w:pPr>
              <w:jc w:val="both"/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ФИЛИАЛ «НОВОСИБИРСКИЙ» </w:t>
            </w: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32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АО «АЛЬФА-БАНК»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637"/>
              <w:jc w:val="both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"/>
        </w:trPr>
        <w:tc>
          <w:tcPr>
            <w:tcW w:w="5103" w:type="dxa"/>
            <w:textDirection w:val="lrTb"/>
            <w:noWrap w:val="false"/>
          </w:tcPr>
          <w:p>
            <w:pPr>
              <w:pStyle w:val="637"/>
              <w:jc w:val="both"/>
              <w:keepNext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Директор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37"/>
              <w:jc w:val="both"/>
              <w:keepNext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7"/>
              <w:jc w:val="both"/>
              <w:keepNext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Я.А. Елинская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7"/>
              <w:jc w:val="both"/>
              <w:keepNext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/>
      <w:bookmarkStart w:id="0" w:name="_GoBack"/>
      <w:r/>
      <w:bookmarkEnd w:id="0"/>
      <w:r/>
      <w:r>
        <w:rPr>
          <w:sz w:val="22"/>
          <w:szCs w:val="22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7" w:hanging="18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  <w:sz w:val="18"/>
        <w:szCs w:val="18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rPr>
      <w:rFonts w:eastAsiaTheme="minorEastAsia"/>
      <w:sz w:val="24"/>
      <w:szCs w:val="24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Normal (Web)"/>
    <w:basedOn w:val="627"/>
    <w:uiPriority w:val="99"/>
    <w:unhideWhenUsed/>
    <w:pPr>
      <w:jc w:val="both"/>
      <w:spacing w:before="100" w:beforeAutospacing="1" w:after="100" w:afterAutospacing="1"/>
    </w:pPr>
  </w:style>
  <w:style w:type="character" w:styleId="632">
    <w:name w:val="Strong"/>
    <w:basedOn w:val="628"/>
    <w:uiPriority w:val="22"/>
    <w:qFormat/>
    <w:rPr>
      <w:b/>
      <w:bCs/>
    </w:rPr>
  </w:style>
  <w:style w:type="paragraph" w:styleId="633">
    <w:name w:val="List Paragraph"/>
    <w:basedOn w:val="627"/>
    <w:uiPriority w:val="34"/>
    <w:qFormat/>
    <w:pPr>
      <w:contextualSpacing/>
      <w:ind w:left="720"/>
    </w:pPr>
  </w:style>
  <w:style w:type="paragraph" w:styleId="634">
    <w:name w:val="Balloon Text"/>
    <w:basedOn w:val="627"/>
    <w:link w:val="6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5" w:customStyle="1">
    <w:name w:val="Текст выноски Знак"/>
    <w:basedOn w:val="628"/>
    <w:link w:val="634"/>
    <w:uiPriority w:val="99"/>
    <w:semiHidden/>
    <w:rPr>
      <w:rFonts w:ascii="Segoe UI" w:hAnsi="Segoe UI" w:cs="Segoe UI" w:eastAsiaTheme="minorEastAsia"/>
      <w:sz w:val="18"/>
      <w:szCs w:val="18"/>
    </w:rPr>
  </w:style>
  <w:style w:type="character" w:styleId="636">
    <w:name w:val="Hyperlink"/>
    <w:basedOn w:val="628"/>
    <w:uiPriority w:val="99"/>
    <w:unhideWhenUsed/>
    <w:rPr>
      <w:color w:val="0563c1" w:themeColor="hyperlink"/>
      <w:u w:val="single"/>
    </w:rPr>
  </w:style>
  <w:style w:type="paragraph" w:styleId="63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table" w:styleId="638">
    <w:name w:val="Table Grid"/>
    <w:basedOn w:val="62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sispp.ru/" TargetMode="External"/><Relationship Id="rId10" Type="http://schemas.openxmlformats.org/officeDocument/2006/relationships/hyperlink" Target="https://www.sispp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Порошина Екатерина Сергеевна</dc:creator>
  <cp:keywords/>
  <dc:description/>
  <cp:lastModifiedBy>Пистюльга Денис Сергеевич</cp:lastModifiedBy>
  <cp:revision>11</cp:revision>
  <dcterms:created xsi:type="dcterms:W3CDTF">2024-08-23T04:23:00Z</dcterms:created>
  <dcterms:modified xsi:type="dcterms:W3CDTF">2025-09-01T03:59:31Z</dcterms:modified>
</cp:coreProperties>
</file>